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9DB3D" w14:textId="142A69BE" w:rsidR="001C1FF7" w:rsidRDefault="00BB7E18" w:rsidP="00BB7E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B7E18">
        <w:rPr>
          <w:rFonts w:ascii="Arial" w:hAnsi="Arial" w:cs="Arial"/>
          <w:sz w:val="24"/>
          <w:szCs w:val="24"/>
        </w:rPr>
        <w:t>“</w:t>
      </w:r>
      <w:r w:rsidRPr="00BB7E18">
        <w:rPr>
          <w:rFonts w:ascii="Arial" w:hAnsi="Arial" w:cs="Arial"/>
          <w:b/>
          <w:bCs/>
          <w:sz w:val="24"/>
          <w:szCs w:val="24"/>
        </w:rPr>
        <w:t xml:space="preserve">ANÁLISIS Y REFLEXIONES EN TORNO A LA ANEMIA DE CÉLULAS FALCIFORMES: </w:t>
      </w:r>
      <w:r w:rsidR="00CB1112">
        <w:rPr>
          <w:rFonts w:ascii="Arial" w:hAnsi="Arial" w:cs="Arial"/>
          <w:b/>
          <w:bCs/>
          <w:sz w:val="24"/>
          <w:szCs w:val="24"/>
        </w:rPr>
        <w:t>manejo de urgencias y crisis de dolor</w:t>
      </w:r>
    </w:p>
    <w:p w14:paraId="334C5DAC" w14:textId="2CF0DDD0" w:rsidR="00026349" w:rsidRDefault="00D718A9" w:rsidP="00BB7E1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CB1112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26349">
        <w:rPr>
          <w:rFonts w:ascii="Arial" w:hAnsi="Arial" w:cs="Arial"/>
          <w:b/>
          <w:bCs/>
          <w:sz w:val="24"/>
          <w:szCs w:val="24"/>
        </w:rPr>
        <w:t>Junio de 2023</w:t>
      </w:r>
    </w:p>
    <w:p w14:paraId="2F7A4304" w14:textId="77AC3927" w:rsidR="00CB1112" w:rsidRPr="00BB7E18" w:rsidRDefault="00CB1112" w:rsidP="00BB7E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Bloque 11 salón 215 UTCH</w:t>
      </w:r>
    </w:p>
    <w:p w14:paraId="51F30ABB" w14:textId="77777777" w:rsidR="00BB7E18" w:rsidRDefault="00BB7E18" w:rsidP="00BB7E18">
      <w:pPr>
        <w:jc w:val="both"/>
        <w:rPr>
          <w:rFonts w:ascii="Arial" w:hAnsi="Arial" w:cs="Arial"/>
          <w:b/>
        </w:rPr>
      </w:pPr>
    </w:p>
    <w:p w14:paraId="2975CCD3" w14:textId="77777777" w:rsidR="00F5043D" w:rsidRPr="00BB7E18" w:rsidRDefault="00F5043D" w:rsidP="00BB7E18">
      <w:p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Arial" w:eastAsia="Times New Roman" w:hAnsi="Arial" w:cs="Arial"/>
          <w:bCs/>
        </w:rPr>
      </w:pPr>
    </w:p>
    <w:p w14:paraId="799C3F4F" w14:textId="77777777" w:rsidR="00E73F0E" w:rsidRDefault="00F5043D" w:rsidP="00BB7E18">
      <w:p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Arial" w:hAnsi="Arial" w:cs="Arial"/>
        </w:rPr>
      </w:pPr>
      <w:r w:rsidRPr="00BB7E18">
        <w:rPr>
          <w:rFonts w:ascii="Arial" w:hAnsi="Arial" w:cs="Arial"/>
        </w:rPr>
        <w:t xml:space="preserve">El 19 de junio se conmemora el Día Mundial de la Anemia de Células Falciformes, es una ocasión para visibilizar y emprender acciones de </w:t>
      </w:r>
      <w:r w:rsidR="00063ADB" w:rsidRPr="00BB7E18">
        <w:rPr>
          <w:rFonts w:ascii="Arial" w:hAnsi="Arial" w:cs="Arial"/>
        </w:rPr>
        <w:t>educación</w:t>
      </w:r>
      <w:r w:rsidRPr="00BB7E18">
        <w:rPr>
          <w:rFonts w:ascii="Arial" w:hAnsi="Arial" w:cs="Arial"/>
        </w:rPr>
        <w:t xml:space="preserve"> para la salud con relación a</w:t>
      </w:r>
      <w:r w:rsidR="00D21A70">
        <w:rPr>
          <w:rFonts w:ascii="Arial" w:hAnsi="Arial" w:cs="Arial"/>
        </w:rPr>
        <w:t xml:space="preserve"> </w:t>
      </w:r>
      <w:r w:rsidRPr="00BB7E18">
        <w:rPr>
          <w:rFonts w:ascii="Arial" w:hAnsi="Arial" w:cs="Arial"/>
        </w:rPr>
        <w:t xml:space="preserve"> esta </w:t>
      </w:r>
      <w:r w:rsidR="00063ADB" w:rsidRPr="00BB7E18">
        <w:rPr>
          <w:rFonts w:ascii="Arial" w:hAnsi="Arial" w:cs="Arial"/>
        </w:rPr>
        <w:t>patología</w:t>
      </w:r>
      <w:r w:rsidR="00D21A70">
        <w:rPr>
          <w:rFonts w:ascii="Arial" w:hAnsi="Arial" w:cs="Arial"/>
        </w:rPr>
        <w:t xml:space="preserve"> </w:t>
      </w:r>
      <w:r w:rsidRPr="00BB7E18">
        <w:rPr>
          <w:rFonts w:ascii="Arial" w:hAnsi="Arial" w:cs="Arial"/>
        </w:rPr>
        <w:t>que</w:t>
      </w:r>
      <w:r w:rsidR="00D21A70">
        <w:rPr>
          <w:rFonts w:ascii="Arial" w:hAnsi="Arial" w:cs="Arial"/>
        </w:rPr>
        <w:t xml:space="preserve"> afectan a la población en la región del Pacífico.</w:t>
      </w:r>
    </w:p>
    <w:p w14:paraId="77E21ED7" w14:textId="77777777" w:rsidR="00E73F0E" w:rsidRDefault="00E73F0E" w:rsidP="00BB7E18">
      <w:p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Arial" w:hAnsi="Arial" w:cs="Arial"/>
        </w:rPr>
      </w:pPr>
    </w:p>
    <w:p w14:paraId="225A9BE6" w14:textId="77777777" w:rsidR="00E73F0E" w:rsidRDefault="00D21A70" w:rsidP="00BB7E18">
      <w:p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La Anemia de Células Falciformes</w:t>
      </w:r>
      <w:r w:rsidR="00F5043D" w:rsidRPr="00BB7E18">
        <w:rPr>
          <w:rFonts w:ascii="Arial" w:hAnsi="Arial" w:cs="Arial"/>
        </w:rPr>
        <w:t xml:space="preserve"> se constituye </w:t>
      </w:r>
      <w:r w:rsidR="0041204E" w:rsidRPr="00BB7E18">
        <w:rPr>
          <w:rFonts w:ascii="Arial" w:hAnsi="Arial" w:cs="Arial"/>
        </w:rPr>
        <w:t>en la</w:t>
      </w:r>
      <w:r w:rsidR="00F5043D" w:rsidRPr="00BB7E18">
        <w:rPr>
          <w:rFonts w:ascii="Arial" w:hAnsi="Arial" w:cs="Arial"/>
        </w:rPr>
        <w:t xml:space="preserve"> forma más frecuente y mejor conocida de hemoglobinopatía estructural. Es muy frecuente en la población de origen africano y afecta aproximadamente al 10% de la población americana y a más del 40% de algunas poblaciones del continente africano, (Cantalejo M. 2005). </w:t>
      </w:r>
    </w:p>
    <w:p w14:paraId="001C5FF3" w14:textId="77777777" w:rsidR="00E73F0E" w:rsidRDefault="00E73F0E" w:rsidP="00BB7E18">
      <w:p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Arial" w:hAnsi="Arial" w:cs="Arial"/>
        </w:rPr>
      </w:pPr>
    </w:p>
    <w:p w14:paraId="5D724DA3" w14:textId="00476A34" w:rsidR="0041204E" w:rsidRPr="00BB7E18" w:rsidRDefault="00F5043D" w:rsidP="00BB7E18">
      <w:p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Arial" w:hAnsi="Arial" w:cs="Arial"/>
          <w:shd w:val="clear" w:color="auto" w:fill="FFFFFF"/>
        </w:rPr>
      </w:pPr>
      <w:r w:rsidRPr="00BB7E18">
        <w:rPr>
          <w:rFonts w:ascii="Arial" w:eastAsia="Times New Roman" w:hAnsi="Arial" w:cs="Arial"/>
          <w:bCs/>
        </w:rPr>
        <w:t xml:space="preserve"> </w:t>
      </w:r>
      <w:r w:rsidRPr="00BB7E18">
        <w:rPr>
          <w:rFonts w:ascii="Arial" w:hAnsi="Arial" w:cs="Arial"/>
        </w:rPr>
        <w:t>En Colombia, se han hallado registros de hemoglobina con frecuencias entre el 2,4 y el 14% en diferentes Regiones (Silva et al., 1998, Bernal et al., 1995, Espinel, Y Valenzuela, 1991 citados en Ortega et. al 2015)</w:t>
      </w:r>
      <w:r w:rsidR="00063ADB" w:rsidRPr="00BB7E18">
        <w:rPr>
          <w:rFonts w:ascii="Arial" w:hAnsi="Arial" w:cs="Arial"/>
        </w:rPr>
        <w:t>, afectando</w:t>
      </w:r>
      <w:r w:rsidRPr="00BB7E18">
        <w:rPr>
          <w:rFonts w:ascii="Arial" w:hAnsi="Arial" w:cs="Arial"/>
        </w:rPr>
        <w:t xml:space="preserve"> a más de 1.600 colombianos</w:t>
      </w:r>
      <w:r w:rsidR="00063ADB" w:rsidRPr="00BB7E18">
        <w:rPr>
          <w:rFonts w:ascii="Arial" w:hAnsi="Arial" w:cs="Arial"/>
        </w:rPr>
        <w:t>, según el Sistema de Vigilancia en Salud (SIVIGILA), cifra que contrasta con las  investigaciones científicas donde se</w:t>
      </w:r>
      <w:r w:rsidR="00E73F0E">
        <w:rPr>
          <w:rFonts w:ascii="Arial" w:hAnsi="Arial" w:cs="Arial"/>
        </w:rPr>
        <w:t xml:space="preserve"> </w:t>
      </w:r>
      <w:r w:rsidR="00B4541F" w:rsidRPr="00BB7E18">
        <w:rPr>
          <w:rFonts w:ascii="Arial" w:hAnsi="Arial" w:cs="Arial"/>
        </w:rPr>
        <w:t>estima que en</w:t>
      </w:r>
      <w:r w:rsidR="00E73F0E">
        <w:rPr>
          <w:rFonts w:ascii="Arial" w:hAnsi="Arial" w:cs="Arial"/>
        </w:rPr>
        <w:t xml:space="preserve"> C</w:t>
      </w:r>
      <w:r w:rsidR="00B4541F" w:rsidRPr="00BB7E18">
        <w:rPr>
          <w:rFonts w:ascii="Arial" w:hAnsi="Arial" w:cs="Arial"/>
        </w:rPr>
        <w:t>olombia nacen cada año 500 niños con Drepanocitosis</w:t>
      </w:r>
      <w:r w:rsidR="00E73F0E">
        <w:rPr>
          <w:rFonts w:ascii="Arial" w:hAnsi="Arial" w:cs="Arial"/>
        </w:rPr>
        <w:t xml:space="preserve">. </w:t>
      </w:r>
      <w:r w:rsidR="0041204E" w:rsidRPr="00BB7E18">
        <w:rPr>
          <w:rFonts w:ascii="Arial" w:hAnsi="Arial" w:cs="Arial"/>
          <w:shd w:val="clear" w:color="auto" w:fill="FFFFFF"/>
        </w:rPr>
        <w:t xml:space="preserve">Este dato refleja el sub registro que puede existir frente a la realidad de los pacientes con esta patología en Colombia, lo que beneficia las complicaciones en los pacientes por falta de diagnóstico y tratamiento oportuno. </w:t>
      </w:r>
    </w:p>
    <w:p w14:paraId="48CCA3CC" w14:textId="05195B56" w:rsidR="00B4541F" w:rsidRPr="00BB7E18" w:rsidRDefault="00B4541F" w:rsidP="00BB7E18">
      <w:p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Arial" w:hAnsi="Arial" w:cs="Arial"/>
        </w:rPr>
      </w:pPr>
    </w:p>
    <w:p w14:paraId="6404173E" w14:textId="1C4EFCD2" w:rsidR="00F5043D" w:rsidRPr="00BB7E18" w:rsidRDefault="00063ADB" w:rsidP="00BB7E18">
      <w:p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Arial" w:hAnsi="Arial" w:cs="Arial"/>
        </w:rPr>
      </w:pPr>
      <w:r w:rsidRPr="00BB7E18">
        <w:rPr>
          <w:rFonts w:ascii="Arial" w:hAnsi="Arial" w:cs="Arial"/>
        </w:rPr>
        <w:t>La Anemia de Células Falciformes o Drepanocitosis se ubica</w:t>
      </w:r>
      <w:r w:rsidR="00F5043D" w:rsidRPr="00BB7E18">
        <w:rPr>
          <w:rFonts w:ascii="Arial" w:hAnsi="Arial" w:cs="Arial"/>
        </w:rPr>
        <w:t xml:space="preserve"> entre las 8 enfermedades raras más frecuentes en el país y afecta, principalmente a las personas que residen en la región Pacífico y en el Caribe,</w:t>
      </w:r>
      <w:r w:rsidR="007F0952">
        <w:rPr>
          <w:rFonts w:ascii="Arial" w:hAnsi="Arial" w:cs="Arial"/>
        </w:rPr>
        <w:t xml:space="preserve"> ubicándose como la enfermedad rara más frecuente en estas regiones,</w:t>
      </w:r>
      <w:r w:rsidR="00F5043D" w:rsidRPr="00BB7E18">
        <w:rPr>
          <w:rFonts w:ascii="Arial" w:hAnsi="Arial" w:cs="Arial"/>
        </w:rPr>
        <w:t xml:space="preserve"> según datos del Instituto Nacional de Salud</w:t>
      </w:r>
    </w:p>
    <w:p w14:paraId="72FF09D0" w14:textId="77777777" w:rsidR="00F5043D" w:rsidRPr="00BB7E18" w:rsidRDefault="00F5043D" w:rsidP="00BB7E18">
      <w:pPr>
        <w:shd w:val="clear" w:color="auto" w:fill="FFFFFF"/>
        <w:spacing w:after="0" w:line="225" w:lineRule="atLeast"/>
        <w:ind w:right="300"/>
        <w:jc w:val="both"/>
        <w:textAlignment w:val="baseline"/>
        <w:rPr>
          <w:rFonts w:ascii="Arial" w:hAnsi="Arial" w:cs="Arial"/>
        </w:rPr>
      </w:pPr>
    </w:p>
    <w:p w14:paraId="2BA68B75" w14:textId="765CE5E8" w:rsidR="009D6D1A" w:rsidRPr="00BB7E18" w:rsidRDefault="00F5043D" w:rsidP="00BB7E18">
      <w:pPr>
        <w:jc w:val="both"/>
        <w:rPr>
          <w:rFonts w:ascii="Arial" w:hAnsi="Arial" w:cs="Arial"/>
        </w:rPr>
      </w:pPr>
      <w:r w:rsidRPr="00BB7E18">
        <w:rPr>
          <w:rFonts w:ascii="Arial" w:hAnsi="Arial" w:cs="Arial"/>
        </w:rPr>
        <w:t>Desde la Asociación Colombiana de Pacientes con Drepanocitosis</w:t>
      </w:r>
      <w:r w:rsidR="0041204E" w:rsidRPr="00BB7E18">
        <w:rPr>
          <w:rFonts w:ascii="Arial" w:hAnsi="Arial" w:cs="Arial"/>
        </w:rPr>
        <w:t xml:space="preserve"> y otras Enfermedades Raras</w:t>
      </w:r>
      <w:r w:rsidRPr="00BB7E18">
        <w:rPr>
          <w:rFonts w:ascii="Arial" w:hAnsi="Arial" w:cs="Arial"/>
        </w:rPr>
        <w:t xml:space="preserve"> “Red Familias de Hoz”</w:t>
      </w:r>
      <w:r w:rsidRPr="00BB7E18">
        <w:rPr>
          <w:rStyle w:val="FootnoteReference"/>
          <w:rFonts w:ascii="Arial" w:hAnsi="Arial" w:cs="Arial"/>
        </w:rPr>
        <w:footnoteReference w:id="1"/>
      </w:r>
      <w:r w:rsidRPr="00BB7E18">
        <w:rPr>
          <w:rFonts w:ascii="Arial" w:hAnsi="Arial" w:cs="Arial"/>
        </w:rPr>
        <w:t xml:space="preserve"> estamos </w:t>
      </w:r>
      <w:r w:rsidR="00E73F0E">
        <w:rPr>
          <w:rFonts w:ascii="Arial" w:hAnsi="Arial" w:cs="Arial"/>
        </w:rPr>
        <w:t>desarrollando</w:t>
      </w:r>
      <w:r w:rsidRPr="00BB7E18">
        <w:rPr>
          <w:rFonts w:ascii="Arial" w:hAnsi="Arial" w:cs="Arial"/>
        </w:rPr>
        <w:t xml:space="preserve"> </w:t>
      </w:r>
      <w:r w:rsidR="00E73F0E">
        <w:rPr>
          <w:rFonts w:ascii="Arial" w:hAnsi="Arial" w:cs="Arial"/>
        </w:rPr>
        <w:t xml:space="preserve">la campaña </w:t>
      </w:r>
      <w:r w:rsidR="009D6D1A" w:rsidRPr="00BB7E18">
        <w:rPr>
          <w:rFonts w:ascii="Arial" w:hAnsi="Arial" w:cs="Arial"/>
        </w:rPr>
        <w:t>“</w:t>
      </w:r>
      <w:r w:rsidR="009D6D1A" w:rsidRPr="00BB7E18">
        <w:rPr>
          <w:rFonts w:ascii="Arial" w:hAnsi="Arial" w:cs="Arial"/>
          <w:b/>
          <w:bCs/>
        </w:rPr>
        <w:t>Análisis y reflexiones en torno a la Anemia de Células Falciforme</w:t>
      </w:r>
      <w:r w:rsidR="00D21A70">
        <w:rPr>
          <w:rFonts w:ascii="Arial" w:hAnsi="Arial" w:cs="Arial"/>
          <w:b/>
          <w:bCs/>
        </w:rPr>
        <w:t>s</w:t>
      </w:r>
      <w:r w:rsidR="009D6D1A" w:rsidRPr="00BB7E18">
        <w:rPr>
          <w:rFonts w:ascii="Arial" w:hAnsi="Arial" w:cs="Arial"/>
          <w:b/>
          <w:bCs/>
        </w:rPr>
        <w:t xml:space="preserve">: </w:t>
      </w:r>
      <w:r w:rsidR="00E73F0E">
        <w:rPr>
          <w:rFonts w:ascii="Arial" w:hAnsi="Arial" w:cs="Arial"/>
          <w:b/>
          <w:bCs/>
        </w:rPr>
        <w:t xml:space="preserve">manejo de las urgencias y crisis de dolor, que en esta ocasión será el séptimo encuentro y tendrá como sede la ciudad de Quibdó, el próximo lunes 26 de junio. </w:t>
      </w:r>
    </w:p>
    <w:p w14:paraId="487EAF8B" w14:textId="3F213007" w:rsidR="0044418C" w:rsidRDefault="0044418C" w:rsidP="00BB7E18">
      <w:pPr>
        <w:jc w:val="both"/>
        <w:rPr>
          <w:rFonts w:ascii="Arial" w:hAnsi="Arial" w:cs="Arial"/>
          <w:bCs/>
        </w:rPr>
      </w:pPr>
    </w:p>
    <w:p w14:paraId="773C4FC9" w14:textId="77777777" w:rsidR="0044418C" w:rsidRPr="00BB7E18" w:rsidRDefault="0044418C" w:rsidP="00BB7E18">
      <w:pPr>
        <w:jc w:val="both"/>
        <w:rPr>
          <w:rFonts w:ascii="Arial" w:hAnsi="Arial" w:cs="Arial"/>
          <w:bCs/>
        </w:rPr>
      </w:pPr>
    </w:p>
    <w:p w14:paraId="04472BEF" w14:textId="396D33A3" w:rsidR="009D6D1A" w:rsidRPr="00BB7E18" w:rsidRDefault="009D6D1A" w:rsidP="00BB7E18">
      <w:pPr>
        <w:jc w:val="both"/>
        <w:rPr>
          <w:rFonts w:ascii="Arial" w:hAnsi="Arial" w:cs="Arial"/>
        </w:rPr>
      </w:pPr>
    </w:p>
    <w:p w14:paraId="44D668C5" w14:textId="77777777" w:rsidR="00E73F0E" w:rsidRPr="00BB7E18" w:rsidRDefault="00E73F0E" w:rsidP="00E73F0E">
      <w:pPr>
        <w:jc w:val="both"/>
        <w:rPr>
          <w:rFonts w:ascii="Arial" w:hAnsi="Arial" w:cs="Arial"/>
          <w:b/>
          <w:bCs/>
        </w:rPr>
      </w:pPr>
      <w:bookmarkStart w:id="0" w:name="_Hlk138157171"/>
      <w:r w:rsidRPr="00BB7E18">
        <w:rPr>
          <w:rFonts w:ascii="Arial" w:hAnsi="Arial" w:cs="Arial"/>
          <w:b/>
          <w:bCs/>
        </w:rPr>
        <w:lastRenderedPageBreak/>
        <w:t>AGENDA</w:t>
      </w:r>
    </w:p>
    <w:p w14:paraId="707E1CC3" w14:textId="77777777" w:rsidR="00E73F0E" w:rsidRPr="00BB7E18" w:rsidRDefault="00E73F0E" w:rsidP="00E73F0E">
      <w:pPr>
        <w:jc w:val="both"/>
        <w:rPr>
          <w:rFonts w:ascii="Arial" w:hAnsi="Arial" w:cs="Arial"/>
        </w:rPr>
      </w:pPr>
    </w:p>
    <w:tbl>
      <w:tblPr>
        <w:tblStyle w:val="GridTable4-Accent4"/>
        <w:tblW w:w="8828" w:type="dxa"/>
        <w:tblLook w:val="04A0" w:firstRow="1" w:lastRow="0" w:firstColumn="1" w:lastColumn="0" w:noHBand="0" w:noVBand="1"/>
      </w:tblPr>
      <w:tblGrid>
        <w:gridCol w:w="1751"/>
        <w:gridCol w:w="7077"/>
      </w:tblGrid>
      <w:tr w:rsidR="00E73F0E" w:rsidRPr="00BB7E18" w14:paraId="1DD0C3D7" w14:textId="77777777" w:rsidTr="00C30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312264D2" w14:textId="77777777" w:rsidR="00E73F0E" w:rsidRPr="00BB7E18" w:rsidRDefault="00E73F0E" w:rsidP="00C30ABE">
            <w:pPr>
              <w:spacing w:line="259" w:lineRule="auto"/>
              <w:jc w:val="both"/>
              <w:rPr>
                <w:rFonts w:ascii="Arial" w:hAnsi="Arial" w:cs="Arial"/>
                <w:bCs w:val="0"/>
                <w:i/>
                <w:color w:val="000000" w:themeColor="text1"/>
              </w:rPr>
            </w:pPr>
            <w:r w:rsidRPr="00BB7E18">
              <w:rPr>
                <w:rFonts w:ascii="Arial" w:hAnsi="Arial" w:cs="Arial"/>
                <w:bCs w:val="0"/>
                <w:i/>
                <w:color w:val="000000" w:themeColor="text1"/>
              </w:rPr>
              <w:t xml:space="preserve">Actividad 1. </w:t>
            </w:r>
          </w:p>
        </w:tc>
        <w:tc>
          <w:tcPr>
            <w:tcW w:w="7077" w:type="dxa"/>
          </w:tcPr>
          <w:p w14:paraId="0F82890F" w14:textId="77777777" w:rsidR="00E73F0E" w:rsidRPr="00BB7E18" w:rsidRDefault="00E73F0E" w:rsidP="00C30ABE">
            <w:pPr>
              <w:ind w:right="5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</w:rPr>
            </w:pPr>
            <w:r w:rsidRPr="00BB7E18">
              <w:rPr>
                <w:rFonts w:ascii="Arial" w:hAnsi="Arial" w:cs="Arial"/>
                <w:bCs w:val="0"/>
                <w:i/>
                <w:color w:val="000000" w:themeColor="text1"/>
              </w:rPr>
              <w:t>Mesa Inter</w:t>
            </w:r>
            <w:r>
              <w:rPr>
                <w:rFonts w:ascii="Arial" w:hAnsi="Arial" w:cs="Arial"/>
                <w:bCs w:val="0"/>
                <w:i/>
                <w:color w:val="000000" w:themeColor="text1"/>
              </w:rPr>
              <w:t>institucional</w:t>
            </w:r>
            <w:r w:rsidRPr="00BB7E18">
              <w:rPr>
                <w:rFonts w:ascii="Arial" w:hAnsi="Arial" w:cs="Arial"/>
                <w:bCs w:val="0"/>
                <w:i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  <w:bCs w:val="0"/>
                <w:i/>
                <w:color w:val="000000" w:themeColor="text1"/>
              </w:rPr>
              <w:t>para la atención integral y eliminación de barreras en el abordaje de la  Drepanocitosis</w:t>
            </w:r>
          </w:p>
        </w:tc>
      </w:tr>
      <w:tr w:rsidR="00E73F0E" w:rsidRPr="00BB7E18" w14:paraId="3BAECB78" w14:textId="77777777" w:rsidTr="00C3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6CF5DC34" w14:textId="77777777" w:rsidR="00E73F0E" w:rsidRPr="00BB7E18" w:rsidRDefault="00E73F0E" w:rsidP="00C30ABE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</w:tc>
        <w:tc>
          <w:tcPr>
            <w:tcW w:w="7077" w:type="dxa"/>
          </w:tcPr>
          <w:p w14:paraId="2F0DB393" w14:textId="77777777" w:rsidR="00E73F0E" w:rsidRDefault="00E73F0E" w:rsidP="00C30ABE">
            <w:pPr>
              <w:ind w:right="5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  <w:color w:val="000000" w:themeColor="text1"/>
              </w:rPr>
              <w:t xml:space="preserve"> De 8:00 a.m. a 11:00 a.m. </w:t>
            </w:r>
          </w:p>
        </w:tc>
      </w:tr>
      <w:tr w:rsidR="00E73F0E" w:rsidRPr="00BB7E18" w14:paraId="0F962255" w14:textId="77777777" w:rsidTr="00C30ABE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3BC095DB" w14:textId="77777777" w:rsidR="00E73F0E" w:rsidRPr="00BB7E18" w:rsidRDefault="00E73F0E" w:rsidP="00C30ABE">
            <w:pPr>
              <w:spacing w:line="259" w:lineRule="auto"/>
              <w:jc w:val="both"/>
              <w:rPr>
                <w:rFonts w:ascii="Arial" w:hAnsi="Arial" w:cs="Arial"/>
                <w:b w:val="0"/>
                <w:i/>
              </w:rPr>
            </w:pPr>
            <w:r w:rsidRPr="00BB7E18">
              <w:rPr>
                <w:rFonts w:ascii="Arial" w:hAnsi="Arial" w:cs="Arial"/>
                <w:b w:val="0"/>
                <w:i/>
              </w:rPr>
              <w:t xml:space="preserve"> </w:t>
            </w:r>
          </w:p>
          <w:p w14:paraId="6641D589" w14:textId="77777777" w:rsidR="00E73F0E" w:rsidRPr="00BB7E18" w:rsidRDefault="00E73F0E" w:rsidP="00C30ABE">
            <w:pPr>
              <w:spacing w:line="259" w:lineRule="auto"/>
              <w:ind w:left="14"/>
              <w:jc w:val="both"/>
              <w:rPr>
                <w:rFonts w:ascii="Arial" w:hAnsi="Arial" w:cs="Arial"/>
                <w:b w:val="0"/>
                <w:i/>
              </w:rPr>
            </w:pPr>
            <w:r w:rsidRPr="00BB7E18">
              <w:rPr>
                <w:rFonts w:ascii="Arial" w:hAnsi="Arial" w:cs="Arial"/>
                <w:i/>
              </w:rPr>
              <w:t>Objetivo:</w:t>
            </w:r>
          </w:p>
        </w:tc>
        <w:tc>
          <w:tcPr>
            <w:tcW w:w="7077" w:type="dxa"/>
          </w:tcPr>
          <w:p w14:paraId="06A9E6F4" w14:textId="77777777" w:rsidR="00E73F0E" w:rsidRPr="00BB7E18" w:rsidRDefault="00E73F0E" w:rsidP="00C30A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B7E18">
              <w:rPr>
                <w:rFonts w:ascii="Arial" w:hAnsi="Arial" w:cs="Arial"/>
                <w:bCs/>
              </w:rPr>
              <w:t xml:space="preserve">Promover la colaboración entre las organizaciones de pacientes, profesionales de la salud, investigadores y responsables políticos, con el fin de mejorar la atención médica para las personas con </w:t>
            </w:r>
            <w:r>
              <w:rPr>
                <w:rFonts w:ascii="Arial" w:hAnsi="Arial" w:cs="Arial"/>
                <w:bCs/>
              </w:rPr>
              <w:t>enfermedades raras</w:t>
            </w:r>
            <w:r w:rsidRPr="00BB7E18">
              <w:rPr>
                <w:rFonts w:ascii="Arial" w:hAnsi="Arial" w:cs="Arial"/>
                <w:bCs/>
              </w:rPr>
              <w:t xml:space="preserve"> y abordar los desafíos que enfrentan las comunidades afectadas por </w:t>
            </w:r>
            <w:r>
              <w:rPr>
                <w:rFonts w:ascii="Arial" w:hAnsi="Arial" w:cs="Arial"/>
                <w:bCs/>
              </w:rPr>
              <w:t>la Drepanocitosis</w:t>
            </w:r>
          </w:p>
          <w:p w14:paraId="3F0DCD9F" w14:textId="77777777" w:rsidR="00E73F0E" w:rsidRPr="00BB7E18" w:rsidRDefault="00E73F0E" w:rsidP="00C30A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E73F0E" w:rsidRPr="00BB7E18" w14:paraId="3F34710D" w14:textId="77777777" w:rsidTr="00C3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0DAFDAFE" w14:textId="77777777" w:rsidR="00E73F0E" w:rsidRPr="00BB7E18" w:rsidRDefault="00E73F0E" w:rsidP="00C30ABE">
            <w:pPr>
              <w:jc w:val="both"/>
              <w:rPr>
                <w:rFonts w:ascii="Arial" w:hAnsi="Arial" w:cs="Arial"/>
                <w:i/>
              </w:rPr>
            </w:pPr>
            <w:r w:rsidRPr="00BB7E18">
              <w:rPr>
                <w:rFonts w:ascii="Arial" w:hAnsi="Arial" w:cs="Arial"/>
                <w:i/>
              </w:rPr>
              <w:t>Metodología</w:t>
            </w:r>
          </w:p>
        </w:tc>
        <w:tc>
          <w:tcPr>
            <w:tcW w:w="7077" w:type="dxa"/>
          </w:tcPr>
          <w:p w14:paraId="2E70FA06" w14:textId="77777777" w:rsidR="00E73F0E" w:rsidRPr="00BB7E18" w:rsidRDefault="00E73F0E" w:rsidP="00C30A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B7E18">
              <w:rPr>
                <w:rFonts w:ascii="Arial" w:hAnsi="Arial" w:cs="Arial"/>
                <w:i/>
              </w:rPr>
              <w:t>A partir de un espacio de conversación se desarrollarán las preguntas más relevantes relacionadas con las barreras de acceso a los servicios de salud para los pacientes con Drepanocitosis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BB7E18">
              <w:rPr>
                <w:rFonts w:ascii="Arial" w:hAnsi="Arial" w:cs="Arial"/>
                <w:i/>
              </w:rPr>
              <w:t>en los territorios priorizados.</w:t>
            </w:r>
          </w:p>
        </w:tc>
      </w:tr>
      <w:tr w:rsidR="00E73F0E" w:rsidRPr="00BB7E18" w14:paraId="2872397A" w14:textId="77777777" w:rsidTr="00C30ABE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59E1D464" w14:textId="77777777" w:rsidR="00E73F0E" w:rsidRPr="00BB7E18" w:rsidRDefault="00E73F0E" w:rsidP="00C30AB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Temas</w:t>
            </w:r>
          </w:p>
        </w:tc>
        <w:tc>
          <w:tcPr>
            <w:tcW w:w="7077" w:type="dxa"/>
          </w:tcPr>
          <w:p w14:paraId="479DE3E8" w14:textId="77777777" w:rsidR="00E73F0E" w:rsidRPr="00CD6D8D" w:rsidRDefault="00E73F0E" w:rsidP="00E73F0E">
            <w:pPr>
              <w:pStyle w:val="ListParagraph"/>
              <w:numPr>
                <w:ilvl w:val="0"/>
                <w:numId w:val="5"/>
              </w:numPr>
              <w:spacing w:line="259" w:lineRule="auto"/>
              <w:ind w:right="2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CD6D8D">
              <w:rPr>
                <w:rFonts w:ascii="Arial" w:hAnsi="Arial" w:cs="Arial"/>
                <w:i/>
              </w:rPr>
              <w:t xml:space="preserve">Drepanocitosis: un problema de Salud Pública: </w:t>
            </w:r>
          </w:p>
          <w:p w14:paraId="0F3D247C" w14:textId="77777777" w:rsidR="00E73F0E" w:rsidRDefault="00E73F0E" w:rsidP="00E73F0E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Comportamiento de la Drepanocitosis en el Valle del Cauca y Chocó</w:t>
            </w:r>
          </w:p>
          <w:p w14:paraId="37AD5D6C" w14:textId="77777777" w:rsidR="00E73F0E" w:rsidRDefault="00E73F0E" w:rsidP="00E73F0E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Comportamiento de la Drepanocitosis en Cali y Quibdó</w:t>
            </w:r>
          </w:p>
          <w:p w14:paraId="10E5D0CE" w14:textId="77777777" w:rsidR="00E73F0E" w:rsidRDefault="00E73F0E" w:rsidP="00E73F0E">
            <w:pPr>
              <w:pStyle w:val="ListParagraph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B7E18">
              <w:rPr>
                <w:rFonts w:ascii="Arial" w:hAnsi="Arial" w:cs="Arial"/>
                <w:i/>
              </w:rPr>
              <w:t>Presentación de barreras de acceso a los servicios de salud, resultado de grupos focales del 2022</w:t>
            </w:r>
          </w:p>
          <w:p w14:paraId="5B8816C5" w14:textId="77777777" w:rsidR="00E73F0E" w:rsidRDefault="00E73F0E" w:rsidP="00C30ABE">
            <w:pPr>
              <w:spacing w:line="241" w:lineRule="auto"/>
              <w:ind w:left="1" w:right="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Panel: </w:t>
            </w:r>
          </w:p>
          <w:p w14:paraId="0EDE7CA7" w14:textId="77777777" w:rsidR="00E73F0E" w:rsidRDefault="00E73F0E" w:rsidP="00C30ABE">
            <w:pPr>
              <w:spacing w:line="241" w:lineRule="auto"/>
              <w:ind w:left="1" w:right="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B7E18">
              <w:rPr>
                <w:rFonts w:ascii="Arial" w:hAnsi="Arial" w:cs="Arial"/>
                <w:i/>
              </w:rPr>
              <w:t>¿Qué acciones se están tomando en el territorio para eliminar las barreras de acceso a los servicios de salud a los pacientes con Drepanocitosis</w:t>
            </w:r>
            <w:r>
              <w:rPr>
                <w:rFonts w:ascii="Arial" w:hAnsi="Arial" w:cs="Arial"/>
                <w:i/>
              </w:rPr>
              <w:t xml:space="preserve">. </w:t>
            </w:r>
            <w:r w:rsidRPr="00CD6D8D">
              <w:rPr>
                <w:rFonts w:ascii="Arial" w:hAnsi="Arial" w:cs="Arial"/>
                <w:b/>
                <w:bCs/>
                <w:i/>
              </w:rPr>
              <w:t>Participación de la Defensoría del Pueblo.</w:t>
            </w:r>
          </w:p>
          <w:p w14:paraId="0860DA87" w14:textId="77777777" w:rsidR="00E73F0E" w:rsidRDefault="00E73F0E" w:rsidP="00C30ABE">
            <w:pPr>
              <w:spacing w:line="241" w:lineRule="auto"/>
              <w:ind w:left="1" w:right="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06AC27F1" w14:textId="77777777" w:rsidR="00E73F0E" w:rsidRPr="00CD6D8D" w:rsidRDefault="00E73F0E" w:rsidP="00E73F0E">
            <w:pPr>
              <w:pStyle w:val="ListParagraph"/>
              <w:numPr>
                <w:ilvl w:val="0"/>
                <w:numId w:val="4"/>
              </w:numPr>
              <w:spacing w:line="241" w:lineRule="auto"/>
              <w:ind w:right="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Compromisos institucionales</w:t>
            </w:r>
          </w:p>
          <w:p w14:paraId="1584F330" w14:textId="77777777" w:rsidR="00E73F0E" w:rsidRPr="00CD6D8D" w:rsidRDefault="00E73F0E" w:rsidP="00C30A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</w:tr>
      <w:tr w:rsidR="00E73F0E" w:rsidRPr="00BB7E18" w14:paraId="1AA7C2B5" w14:textId="77777777" w:rsidTr="00C3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4113CA46" w14:textId="77777777" w:rsidR="00E73F0E" w:rsidRPr="00BB7E18" w:rsidRDefault="00E73F0E" w:rsidP="00C30ABE">
            <w:pPr>
              <w:spacing w:line="241" w:lineRule="auto"/>
              <w:jc w:val="both"/>
              <w:rPr>
                <w:rFonts w:ascii="Arial" w:hAnsi="Arial" w:cs="Arial"/>
                <w:b w:val="0"/>
                <w:bCs w:val="0"/>
                <w:i/>
              </w:rPr>
            </w:pPr>
            <w:r w:rsidRPr="00BB7E18">
              <w:rPr>
                <w:rFonts w:ascii="Arial" w:hAnsi="Arial" w:cs="Arial"/>
                <w:b w:val="0"/>
                <w:bCs w:val="0"/>
                <w:i/>
              </w:rPr>
              <w:t>Actividad 2</w:t>
            </w:r>
          </w:p>
        </w:tc>
        <w:tc>
          <w:tcPr>
            <w:tcW w:w="7077" w:type="dxa"/>
          </w:tcPr>
          <w:p w14:paraId="2F43A7D0" w14:textId="77777777" w:rsidR="00E73F0E" w:rsidRDefault="00E73F0E" w:rsidP="00C30ABE">
            <w:pPr>
              <w:spacing w:line="259" w:lineRule="auto"/>
              <w:ind w:right="5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Octavo </w:t>
            </w:r>
            <w:r w:rsidRPr="00BB7E18">
              <w:rPr>
                <w:rFonts w:ascii="Arial" w:hAnsi="Arial" w:cs="Arial"/>
                <w:b/>
                <w:i/>
              </w:rPr>
              <w:t>Encuentro</w:t>
            </w:r>
          </w:p>
          <w:p w14:paraId="51899BDF" w14:textId="77777777" w:rsidR="00E73F0E" w:rsidRDefault="00E73F0E" w:rsidP="00C30ABE">
            <w:pPr>
              <w:spacing w:line="259" w:lineRule="auto"/>
              <w:ind w:right="5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 w:rsidRPr="00BB7E18">
              <w:rPr>
                <w:rFonts w:ascii="Arial" w:hAnsi="Arial" w:cs="Arial"/>
                <w:b/>
                <w:i/>
              </w:rPr>
              <w:t xml:space="preserve">.  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BB7E18">
              <w:rPr>
                <w:rFonts w:ascii="Arial" w:hAnsi="Arial" w:cs="Arial"/>
                <w:b/>
                <w:i/>
              </w:rPr>
              <w:t>Análisis y reflexiones en torno a la anemia de células falciformes</w:t>
            </w:r>
            <w:r>
              <w:rPr>
                <w:rFonts w:ascii="Arial" w:hAnsi="Arial" w:cs="Arial"/>
                <w:b/>
                <w:i/>
              </w:rPr>
              <w:t xml:space="preserve">. </w:t>
            </w:r>
          </w:p>
          <w:p w14:paraId="272D9487" w14:textId="77777777" w:rsidR="00E73F0E" w:rsidRPr="00BB7E18" w:rsidRDefault="00E73F0E" w:rsidP="00C30ABE">
            <w:pPr>
              <w:ind w:right="5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Manejo de urgencias y transfusiones.</w:t>
            </w:r>
          </w:p>
        </w:tc>
      </w:tr>
      <w:tr w:rsidR="00E73F0E" w:rsidRPr="00BB7E18" w14:paraId="1BDAA8C0" w14:textId="77777777" w:rsidTr="00C30ABE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30E54E0E" w14:textId="77777777" w:rsidR="00E73F0E" w:rsidRPr="00BB7E18" w:rsidRDefault="00E73F0E" w:rsidP="00C30ABE">
            <w:pPr>
              <w:spacing w:line="259" w:lineRule="auto"/>
              <w:ind w:left="14"/>
              <w:jc w:val="both"/>
              <w:rPr>
                <w:rFonts w:ascii="Arial" w:hAnsi="Arial" w:cs="Arial"/>
                <w:b w:val="0"/>
                <w:i/>
              </w:rPr>
            </w:pPr>
            <w:r w:rsidRPr="00BB7E18">
              <w:rPr>
                <w:rFonts w:ascii="Arial" w:hAnsi="Arial" w:cs="Arial"/>
                <w:b w:val="0"/>
                <w:i/>
              </w:rPr>
              <w:t>Objetivo</w:t>
            </w:r>
          </w:p>
        </w:tc>
        <w:tc>
          <w:tcPr>
            <w:tcW w:w="7077" w:type="dxa"/>
          </w:tcPr>
          <w:p w14:paraId="67F040AE" w14:textId="77777777" w:rsidR="00E73F0E" w:rsidRPr="00BB7E18" w:rsidRDefault="00E73F0E" w:rsidP="00E73F0E">
            <w:pPr>
              <w:pStyle w:val="ListParagraph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B7E18">
              <w:rPr>
                <w:rFonts w:ascii="Arial" w:hAnsi="Arial" w:cs="Arial"/>
                <w:bCs/>
              </w:rPr>
              <w:t>Informar a los pacientes y cuidadores sobre las características de la drepanocitosis</w:t>
            </w:r>
            <w:r>
              <w:rPr>
                <w:rFonts w:ascii="Arial" w:hAnsi="Arial" w:cs="Arial"/>
                <w:bCs/>
              </w:rPr>
              <w:t xml:space="preserve"> y otras enfermedades raras</w:t>
            </w:r>
            <w:r w:rsidRPr="00BB7E18">
              <w:rPr>
                <w:rFonts w:ascii="Arial" w:hAnsi="Arial" w:cs="Arial"/>
                <w:bCs/>
              </w:rPr>
              <w:t>, incluyendo su causa, síntomas, complicaciones y opciones de tratamiento, con el fin mejorar el acceso a la atención médica adecuada.</w:t>
            </w:r>
          </w:p>
          <w:p w14:paraId="06EE4C00" w14:textId="77777777" w:rsidR="00E73F0E" w:rsidRPr="00BB7E18" w:rsidRDefault="00E73F0E" w:rsidP="00C30A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  <w:p w14:paraId="7EE647FB" w14:textId="77777777" w:rsidR="00E73F0E" w:rsidRPr="00BB7E18" w:rsidRDefault="00E73F0E" w:rsidP="00E73F0E">
            <w:pPr>
              <w:pStyle w:val="ListParagraph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BB7E18">
              <w:rPr>
                <w:rFonts w:ascii="Arial" w:hAnsi="Arial" w:cs="Arial"/>
                <w:bCs/>
              </w:rPr>
              <w:t>Capacitar a los profesionales de la salud sobre las mejores prácticas en el manejo de la drepanocitosis</w:t>
            </w:r>
            <w:r>
              <w:rPr>
                <w:rFonts w:ascii="Arial" w:hAnsi="Arial" w:cs="Arial"/>
                <w:bCs/>
              </w:rPr>
              <w:t xml:space="preserve"> y otras enfermedades raras </w:t>
            </w:r>
            <w:r w:rsidRPr="00BB7E18">
              <w:rPr>
                <w:rFonts w:ascii="Arial" w:hAnsi="Arial" w:cs="Arial"/>
                <w:bCs/>
              </w:rPr>
              <w:t>, incluyendo el diagnóstico, tratamiento y seguimiento de los pacientes, con el fin de mejorar la calidad de la atención médica para los pacientes con esta enfermedad.</w:t>
            </w:r>
          </w:p>
          <w:p w14:paraId="636459EC" w14:textId="77777777" w:rsidR="00E73F0E" w:rsidRPr="00BB7E18" w:rsidRDefault="00E73F0E" w:rsidP="00C30ABE">
            <w:pPr>
              <w:pStyle w:val="List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</w:p>
        </w:tc>
      </w:tr>
      <w:tr w:rsidR="00E73F0E" w:rsidRPr="00BB7E18" w14:paraId="38839EB6" w14:textId="77777777" w:rsidTr="00C3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2E888473" w14:textId="77777777" w:rsidR="00E73F0E" w:rsidRPr="00BB7E18" w:rsidRDefault="00E73F0E" w:rsidP="00C30ABE">
            <w:pPr>
              <w:spacing w:line="259" w:lineRule="auto"/>
              <w:jc w:val="both"/>
              <w:rPr>
                <w:rFonts w:ascii="Arial" w:hAnsi="Arial" w:cs="Arial"/>
                <w:b w:val="0"/>
                <w:i/>
              </w:rPr>
            </w:pPr>
            <w:r w:rsidRPr="00BB7E18">
              <w:rPr>
                <w:rFonts w:ascii="Arial" w:hAnsi="Arial" w:cs="Arial"/>
                <w:b w:val="0"/>
                <w:i/>
              </w:rPr>
              <w:t>Metodología</w:t>
            </w:r>
          </w:p>
        </w:tc>
        <w:tc>
          <w:tcPr>
            <w:tcW w:w="7077" w:type="dxa"/>
          </w:tcPr>
          <w:p w14:paraId="464DFA2E" w14:textId="77777777" w:rsidR="00E73F0E" w:rsidRPr="00BB7E18" w:rsidRDefault="00E73F0E" w:rsidP="00C30ABE">
            <w:pPr>
              <w:ind w:right="1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B7E18">
              <w:rPr>
                <w:rFonts w:ascii="Arial" w:hAnsi="Arial" w:cs="Arial"/>
                <w:i/>
              </w:rPr>
              <w:t xml:space="preserve">Mediante un diálogo se presentarán las generalidades, síntomas y complicaciones de la Anemia de Células Falciformes y su tratamiento. </w:t>
            </w:r>
          </w:p>
        </w:tc>
      </w:tr>
      <w:tr w:rsidR="00E73F0E" w:rsidRPr="00BB7E18" w14:paraId="693B6CAD" w14:textId="77777777" w:rsidTr="00C30ABE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2C6C8A74" w14:textId="77777777" w:rsidR="00E73F0E" w:rsidRPr="00BB7E18" w:rsidRDefault="00E73F0E" w:rsidP="00C30ABE">
            <w:pPr>
              <w:jc w:val="both"/>
              <w:rPr>
                <w:rFonts w:ascii="Arial" w:hAnsi="Arial" w:cs="Arial"/>
                <w:b w:val="0"/>
                <w:i/>
              </w:rPr>
            </w:pPr>
            <w:r w:rsidRPr="00BB7E18">
              <w:rPr>
                <w:rFonts w:ascii="Arial" w:hAnsi="Arial" w:cs="Arial"/>
                <w:b w:val="0"/>
                <w:i/>
              </w:rPr>
              <w:lastRenderedPageBreak/>
              <w:t>Participantes</w:t>
            </w:r>
          </w:p>
        </w:tc>
        <w:tc>
          <w:tcPr>
            <w:tcW w:w="7077" w:type="dxa"/>
          </w:tcPr>
          <w:p w14:paraId="5B0851EA" w14:textId="77777777" w:rsidR="00E73F0E" w:rsidRPr="00BB7E18" w:rsidRDefault="00E73F0E" w:rsidP="00C30ABE">
            <w:pPr>
              <w:ind w:right="15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B7E18">
              <w:rPr>
                <w:rFonts w:ascii="Arial" w:hAnsi="Arial" w:cs="Arial"/>
                <w:i/>
              </w:rPr>
              <w:t>Pacientes, cuidadores, profesionales del área de la salud</w:t>
            </w:r>
            <w:r>
              <w:rPr>
                <w:rFonts w:ascii="Arial" w:hAnsi="Arial" w:cs="Arial"/>
                <w:i/>
              </w:rPr>
              <w:t>, médicos de servicio de urgencias.</w:t>
            </w:r>
          </w:p>
        </w:tc>
      </w:tr>
      <w:tr w:rsidR="00E73F0E" w:rsidRPr="00BB7E18" w14:paraId="74CEA7B1" w14:textId="77777777" w:rsidTr="00C30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1" w:type="dxa"/>
          </w:tcPr>
          <w:p w14:paraId="27C50D8E" w14:textId="77777777" w:rsidR="00E73F0E" w:rsidRPr="00BB7E18" w:rsidRDefault="00E73F0E" w:rsidP="00C30AB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Temas</w:t>
            </w:r>
          </w:p>
        </w:tc>
        <w:tc>
          <w:tcPr>
            <w:tcW w:w="7077" w:type="dxa"/>
          </w:tcPr>
          <w:p w14:paraId="4DA5B8DB" w14:textId="77777777" w:rsidR="00E73F0E" w:rsidRDefault="00E73F0E" w:rsidP="00C30ABE">
            <w:pPr>
              <w:ind w:right="1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B7E18">
              <w:rPr>
                <w:rFonts w:ascii="Arial" w:hAnsi="Arial" w:cs="Arial"/>
                <w:i/>
              </w:rPr>
              <w:t>Drepanocitosis</w:t>
            </w:r>
            <w:r>
              <w:rPr>
                <w:rFonts w:ascii="Arial" w:hAnsi="Arial" w:cs="Arial"/>
                <w:i/>
              </w:rPr>
              <w:t xml:space="preserve"> y enfermedades raras</w:t>
            </w:r>
            <w:r w:rsidRPr="00BB7E18">
              <w:rPr>
                <w:rFonts w:ascii="Arial" w:hAnsi="Arial" w:cs="Arial"/>
                <w:i/>
              </w:rPr>
              <w:t xml:space="preserve">: un </w:t>
            </w:r>
            <w:r>
              <w:rPr>
                <w:rFonts w:ascii="Arial" w:hAnsi="Arial" w:cs="Arial"/>
                <w:i/>
              </w:rPr>
              <w:t>asunto</w:t>
            </w:r>
            <w:r w:rsidRPr="00BB7E18">
              <w:rPr>
                <w:rFonts w:ascii="Arial" w:hAnsi="Arial" w:cs="Arial"/>
                <w:i/>
              </w:rPr>
              <w:t xml:space="preserve"> de salud pública</w:t>
            </w:r>
          </w:p>
          <w:p w14:paraId="69B19335" w14:textId="77777777" w:rsidR="00E73F0E" w:rsidRDefault="00E73F0E" w:rsidP="00C30ABE">
            <w:pPr>
              <w:ind w:right="1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B7E18">
              <w:rPr>
                <w:rFonts w:ascii="Arial" w:hAnsi="Arial" w:cs="Arial"/>
                <w:i/>
              </w:rPr>
              <w:t xml:space="preserve">Urgencias: Atención de las crisis vaso-oclusivas y manejo del dolor </w:t>
            </w:r>
            <w:r>
              <w:rPr>
                <w:rFonts w:ascii="Arial" w:hAnsi="Arial" w:cs="Arial"/>
                <w:i/>
              </w:rPr>
              <w:t>en pacientes con Drepanocitosis</w:t>
            </w:r>
          </w:p>
          <w:p w14:paraId="5C693670" w14:textId="77777777" w:rsidR="00E73F0E" w:rsidRDefault="00E73F0E" w:rsidP="00C30ABE">
            <w:pPr>
              <w:ind w:right="1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B7E18">
              <w:rPr>
                <w:rFonts w:ascii="Arial" w:hAnsi="Arial" w:cs="Arial"/>
                <w:i/>
              </w:rPr>
              <w:t xml:space="preserve">Doppler transcraneal: </w:t>
            </w:r>
            <w:r>
              <w:rPr>
                <w:rFonts w:ascii="Arial" w:hAnsi="Arial" w:cs="Arial"/>
                <w:i/>
              </w:rPr>
              <w:t>reduciendo los riesgos cerebrovasculares</w:t>
            </w:r>
          </w:p>
          <w:p w14:paraId="4B5A4CE4" w14:textId="77777777" w:rsidR="00E73F0E" w:rsidRDefault="00E73F0E" w:rsidP="00C30ABE">
            <w:pPr>
              <w:ind w:right="1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B7E18">
              <w:rPr>
                <w:rFonts w:ascii="Arial" w:hAnsi="Arial" w:cs="Arial"/>
                <w:i/>
              </w:rPr>
              <w:t>Seguridad transfusional: una buena práctica para salvar vidas</w:t>
            </w:r>
          </w:p>
          <w:p w14:paraId="62449760" w14:textId="77777777" w:rsidR="00E73F0E" w:rsidRPr="00CD6D8D" w:rsidRDefault="00E73F0E" w:rsidP="00C30ABE">
            <w:pPr>
              <w:ind w:right="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/>
              </w:rPr>
            </w:pPr>
            <w:r w:rsidRPr="00BB7E18">
              <w:rPr>
                <w:rFonts w:ascii="Arial" w:hAnsi="Arial" w:cs="Arial"/>
                <w:i/>
              </w:rPr>
              <w:t xml:space="preserve">Herramientas jurídicas para la defensa de los derechos de pacientes con </w:t>
            </w:r>
            <w:r>
              <w:rPr>
                <w:rFonts w:ascii="Arial" w:hAnsi="Arial" w:cs="Arial"/>
                <w:i/>
              </w:rPr>
              <w:t xml:space="preserve">enfermedades raras. </w:t>
            </w:r>
            <w:r w:rsidRPr="00CD6D8D">
              <w:rPr>
                <w:rFonts w:ascii="Arial" w:hAnsi="Arial" w:cs="Arial"/>
                <w:b/>
                <w:bCs/>
                <w:i/>
              </w:rPr>
              <w:t>Participación de la Defensoría del Pueblo con una ponencia</w:t>
            </w:r>
          </w:p>
          <w:p w14:paraId="7C7021D3" w14:textId="77777777" w:rsidR="00E73F0E" w:rsidRPr="00BB7E18" w:rsidRDefault="00E73F0E" w:rsidP="00C30ABE">
            <w:pPr>
              <w:ind w:right="1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BB7E18">
              <w:rPr>
                <w:rFonts w:ascii="Arial" w:hAnsi="Arial" w:cs="Arial"/>
                <w:i/>
              </w:rPr>
              <w:t>Buena práctica de asociación de pacientes con Drepanocitosis</w:t>
            </w:r>
            <w:r>
              <w:rPr>
                <w:rFonts w:ascii="Arial" w:hAnsi="Arial" w:cs="Arial"/>
                <w:i/>
              </w:rPr>
              <w:t xml:space="preserve"> y otras Enfermedades Raras</w:t>
            </w:r>
            <w:r w:rsidRPr="00BB7E18">
              <w:rPr>
                <w:rFonts w:ascii="Arial" w:hAnsi="Arial" w:cs="Arial"/>
                <w:i/>
              </w:rPr>
              <w:t>: Familias de Hoz</w:t>
            </w:r>
          </w:p>
        </w:tc>
      </w:tr>
    </w:tbl>
    <w:p w14:paraId="08D68428" w14:textId="0B67FBA9" w:rsidR="00BB7E18" w:rsidRDefault="00BB7E18" w:rsidP="00BB7E18">
      <w:pPr>
        <w:jc w:val="both"/>
        <w:rPr>
          <w:rFonts w:ascii="Arial" w:hAnsi="Arial" w:cs="Arial"/>
        </w:rPr>
      </w:pPr>
    </w:p>
    <w:p w14:paraId="2F2E2A2F" w14:textId="191511DC" w:rsidR="008B418C" w:rsidRDefault="008B418C" w:rsidP="00BB7E18">
      <w:pPr>
        <w:jc w:val="both"/>
        <w:rPr>
          <w:rFonts w:ascii="Arial" w:hAnsi="Arial" w:cs="Arial"/>
        </w:rPr>
      </w:pPr>
    </w:p>
    <w:bookmarkEnd w:id="0"/>
    <w:p w14:paraId="14B37D55" w14:textId="2F25C11B" w:rsidR="00955DCD" w:rsidRPr="00BB7E18" w:rsidRDefault="00E73F0E" w:rsidP="00BB7E18">
      <w:pPr>
        <w:spacing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Mayores informes y entrevistas: </w:t>
      </w:r>
    </w:p>
    <w:p w14:paraId="44DBEE69" w14:textId="1FBD0617" w:rsidR="00955DCD" w:rsidRPr="00BB7E18" w:rsidRDefault="00955DCD" w:rsidP="00BB7E18">
      <w:pPr>
        <w:spacing w:line="240" w:lineRule="atLeast"/>
        <w:jc w:val="both"/>
        <w:rPr>
          <w:rFonts w:ascii="Arial" w:hAnsi="Arial" w:cs="Arial"/>
        </w:rPr>
      </w:pPr>
      <w:r w:rsidRPr="00BB7E18">
        <w:rPr>
          <w:rFonts w:ascii="Arial" w:hAnsi="Arial" w:cs="Arial"/>
        </w:rPr>
        <w:t>Jackeline Micolta Victoria</w:t>
      </w:r>
      <w:r w:rsidR="0044418C">
        <w:rPr>
          <w:rFonts w:ascii="Arial" w:hAnsi="Arial" w:cs="Arial"/>
        </w:rPr>
        <w:t>, Presidenta Red Familias de Hoz</w:t>
      </w:r>
    </w:p>
    <w:p w14:paraId="790C9B5A" w14:textId="6EFB4BDD" w:rsidR="00871DBF" w:rsidRPr="00BB7E18" w:rsidRDefault="00955DCD" w:rsidP="00BB7E18">
      <w:pPr>
        <w:spacing w:line="240" w:lineRule="atLeast"/>
        <w:jc w:val="both"/>
        <w:rPr>
          <w:rFonts w:ascii="Arial" w:hAnsi="Arial" w:cs="Arial"/>
        </w:rPr>
      </w:pPr>
      <w:r w:rsidRPr="00BB7E18">
        <w:rPr>
          <w:rFonts w:ascii="Arial" w:hAnsi="Arial" w:cs="Arial"/>
        </w:rPr>
        <w:t>Tel: 3206955379</w:t>
      </w:r>
    </w:p>
    <w:sectPr w:rsidR="00871DBF" w:rsidRPr="00BB7E1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E5BB" w14:textId="77777777" w:rsidR="00D5718D" w:rsidRDefault="00D5718D" w:rsidP="007E202F">
      <w:pPr>
        <w:spacing w:after="0" w:line="240" w:lineRule="auto"/>
      </w:pPr>
      <w:r>
        <w:separator/>
      </w:r>
    </w:p>
  </w:endnote>
  <w:endnote w:type="continuationSeparator" w:id="0">
    <w:p w14:paraId="73293C33" w14:textId="77777777" w:rsidR="00D5718D" w:rsidRDefault="00D5718D" w:rsidP="007E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C5AD" w14:textId="77777777" w:rsidR="00D5718D" w:rsidRDefault="00D5718D" w:rsidP="007E202F">
      <w:pPr>
        <w:spacing w:after="0" w:line="240" w:lineRule="auto"/>
      </w:pPr>
      <w:r>
        <w:separator/>
      </w:r>
    </w:p>
  </w:footnote>
  <w:footnote w:type="continuationSeparator" w:id="0">
    <w:p w14:paraId="0FF31D9D" w14:textId="77777777" w:rsidR="00D5718D" w:rsidRDefault="00D5718D" w:rsidP="007E202F">
      <w:pPr>
        <w:spacing w:after="0" w:line="240" w:lineRule="auto"/>
      </w:pPr>
      <w:r>
        <w:continuationSeparator/>
      </w:r>
    </w:p>
  </w:footnote>
  <w:footnote w:id="1">
    <w:p w14:paraId="2E46653A" w14:textId="77777777" w:rsidR="00F5043D" w:rsidRPr="007A7524" w:rsidRDefault="00F5043D" w:rsidP="00F5043D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t xml:space="preserve"> </w:t>
      </w:r>
      <w:r w:rsidRPr="007A7524">
        <w:t>La Red Familias De Hoz es una asociación de pacientes y familiares de personas con Anemia de Células Falciformes o Drepanocitosis en Colombia. Actualmente representamos a más de 300 pacientes y sus familias en el territorio nacional, especialmente en la región Pacífico.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7B65" w14:textId="2B3317B4" w:rsidR="0044418C" w:rsidRDefault="0044418C">
    <w:pPr>
      <w:pStyle w:val="Header"/>
    </w:pPr>
    <w:r>
      <w:rPr>
        <w:noProof/>
      </w:rPr>
      <w:drawing>
        <wp:inline distT="0" distB="0" distL="0" distR="0" wp14:anchorId="62211CFF" wp14:editId="2B623CDA">
          <wp:extent cx="1609725" cy="963295"/>
          <wp:effectExtent l="0" t="0" r="9525" b="8255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2F4A"/>
      </v:shape>
    </w:pict>
  </w:numPicBullet>
  <w:abstractNum w:abstractNumId="0" w15:restartNumberingAfterBreak="0">
    <w:nsid w:val="1BB933DF"/>
    <w:multiLevelType w:val="hybridMultilevel"/>
    <w:tmpl w:val="76BEB3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06F40"/>
    <w:multiLevelType w:val="hybridMultilevel"/>
    <w:tmpl w:val="5248E87C"/>
    <w:lvl w:ilvl="0" w:tplc="DAAC76BA">
      <w:start w:val="5"/>
      <w:numFmt w:val="bullet"/>
      <w:lvlText w:val="-"/>
      <w:lvlJc w:val="left"/>
      <w:pPr>
        <w:ind w:left="36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6ABD3512"/>
    <w:multiLevelType w:val="hybridMultilevel"/>
    <w:tmpl w:val="780A8644"/>
    <w:lvl w:ilvl="0" w:tplc="3638541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5608E"/>
    <w:multiLevelType w:val="hybridMultilevel"/>
    <w:tmpl w:val="FF2A9EF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714F8"/>
    <w:multiLevelType w:val="hybridMultilevel"/>
    <w:tmpl w:val="1A664150"/>
    <w:lvl w:ilvl="0" w:tplc="35322BB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F7"/>
    <w:rsid w:val="000043E6"/>
    <w:rsid w:val="00026349"/>
    <w:rsid w:val="000419D2"/>
    <w:rsid w:val="00044472"/>
    <w:rsid w:val="00044FE6"/>
    <w:rsid w:val="00045F10"/>
    <w:rsid w:val="000479F3"/>
    <w:rsid w:val="00052F25"/>
    <w:rsid w:val="00054F45"/>
    <w:rsid w:val="00057B44"/>
    <w:rsid w:val="00062E38"/>
    <w:rsid w:val="00063ADB"/>
    <w:rsid w:val="00071F83"/>
    <w:rsid w:val="00072D22"/>
    <w:rsid w:val="00081637"/>
    <w:rsid w:val="000932A5"/>
    <w:rsid w:val="000B0989"/>
    <w:rsid w:val="000B2F90"/>
    <w:rsid w:val="000B6DC5"/>
    <w:rsid w:val="000C4504"/>
    <w:rsid w:val="000C5FF7"/>
    <w:rsid w:val="000D1C28"/>
    <w:rsid w:val="000D6C7B"/>
    <w:rsid w:val="00101CE2"/>
    <w:rsid w:val="001110C9"/>
    <w:rsid w:val="00126DB9"/>
    <w:rsid w:val="00140A69"/>
    <w:rsid w:val="00145309"/>
    <w:rsid w:val="00145DED"/>
    <w:rsid w:val="001546F7"/>
    <w:rsid w:val="00170661"/>
    <w:rsid w:val="00171E53"/>
    <w:rsid w:val="00177906"/>
    <w:rsid w:val="001A6E2A"/>
    <w:rsid w:val="001B65CF"/>
    <w:rsid w:val="001C046F"/>
    <w:rsid w:val="001C1FF7"/>
    <w:rsid w:val="001C42E1"/>
    <w:rsid w:val="001C42E5"/>
    <w:rsid w:val="00202655"/>
    <w:rsid w:val="00203557"/>
    <w:rsid w:val="00205242"/>
    <w:rsid w:val="00205523"/>
    <w:rsid w:val="002225FC"/>
    <w:rsid w:val="00231EAA"/>
    <w:rsid w:val="00233A0F"/>
    <w:rsid w:val="00242539"/>
    <w:rsid w:val="00243BF0"/>
    <w:rsid w:val="00247191"/>
    <w:rsid w:val="00253160"/>
    <w:rsid w:val="00260FB8"/>
    <w:rsid w:val="00282133"/>
    <w:rsid w:val="00283E3E"/>
    <w:rsid w:val="00291EB5"/>
    <w:rsid w:val="002B3D53"/>
    <w:rsid w:val="002C3543"/>
    <w:rsid w:val="002C48DD"/>
    <w:rsid w:val="002C4A4B"/>
    <w:rsid w:val="002E370C"/>
    <w:rsid w:val="002E5712"/>
    <w:rsid w:val="002E62CA"/>
    <w:rsid w:val="002F42F0"/>
    <w:rsid w:val="00301F6B"/>
    <w:rsid w:val="00302C1E"/>
    <w:rsid w:val="00304316"/>
    <w:rsid w:val="00312388"/>
    <w:rsid w:val="00322E45"/>
    <w:rsid w:val="00365C96"/>
    <w:rsid w:val="00386CC4"/>
    <w:rsid w:val="003A24F5"/>
    <w:rsid w:val="003A6205"/>
    <w:rsid w:val="003C0C1F"/>
    <w:rsid w:val="003D338C"/>
    <w:rsid w:val="003D7780"/>
    <w:rsid w:val="003E18A7"/>
    <w:rsid w:val="003E2AE7"/>
    <w:rsid w:val="003F182C"/>
    <w:rsid w:val="003F1AA6"/>
    <w:rsid w:val="003F3625"/>
    <w:rsid w:val="00402949"/>
    <w:rsid w:val="00403AB3"/>
    <w:rsid w:val="00407125"/>
    <w:rsid w:val="00407C6C"/>
    <w:rsid w:val="0041204E"/>
    <w:rsid w:val="00416FE4"/>
    <w:rsid w:val="00432358"/>
    <w:rsid w:val="00434C68"/>
    <w:rsid w:val="0043747B"/>
    <w:rsid w:val="0044418C"/>
    <w:rsid w:val="004441D1"/>
    <w:rsid w:val="00464AE7"/>
    <w:rsid w:val="0046536B"/>
    <w:rsid w:val="00475185"/>
    <w:rsid w:val="00485689"/>
    <w:rsid w:val="00491DBD"/>
    <w:rsid w:val="00494F37"/>
    <w:rsid w:val="00497687"/>
    <w:rsid w:val="004B1DB1"/>
    <w:rsid w:val="004B4A3F"/>
    <w:rsid w:val="004B6D7A"/>
    <w:rsid w:val="004E008A"/>
    <w:rsid w:val="004E42E7"/>
    <w:rsid w:val="004E740A"/>
    <w:rsid w:val="004F6937"/>
    <w:rsid w:val="00502BE6"/>
    <w:rsid w:val="00510F34"/>
    <w:rsid w:val="00513D53"/>
    <w:rsid w:val="00530943"/>
    <w:rsid w:val="0054155D"/>
    <w:rsid w:val="00546DD4"/>
    <w:rsid w:val="00561199"/>
    <w:rsid w:val="0057200E"/>
    <w:rsid w:val="00572770"/>
    <w:rsid w:val="00575445"/>
    <w:rsid w:val="00575D19"/>
    <w:rsid w:val="00582190"/>
    <w:rsid w:val="005B08F0"/>
    <w:rsid w:val="005D1A6B"/>
    <w:rsid w:val="005D2C64"/>
    <w:rsid w:val="005D719D"/>
    <w:rsid w:val="005E104D"/>
    <w:rsid w:val="005E270C"/>
    <w:rsid w:val="005E5F79"/>
    <w:rsid w:val="005F2E83"/>
    <w:rsid w:val="005F3F46"/>
    <w:rsid w:val="00601BEE"/>
    <w:rsid w:val="0061665C"/>
    <w:rsid w:val="00627ADC"/>
    <w:rsid w:val="00631D0C"/>
    <w:rsid w:val="006339C4"/>
    <w:rsid w:val="00644CC2"/>
    <w:rsid w:val="00646C10"/>
    <w:rsid w:val="00647668"/>
    <w:rsid w:val="00677B9F"/>
    <w:rsid w:val="00693153"/>
    <w:rsid w:val="00693ABD"/>
    <w:rsid w:val="00695161"/>
    <w:rsid w:val="006A3D8D"/>
    <w:rsid w:val="006B622D"/>
    <w:rsid w:val="006C3549"/>
    <w:rsid w:val="007117DF"/>
    <w:rsid w:val="00713D40"/>
    <w:rsid w:val="007179D8"/>
    <w:rsid w:val="00740899"/>
    <w:rsid w:val="00745D19"/>
    <w:rsid w:val="00750D26"/>
    <w:rsid w:val="007643E4"/>
    <w:rsid w:val="00765074"/>
    <w:rsid w:val="00773B92"/>
    <w:rsid w:val="00774F69"/>
    <w:rsid w:val="0078444E"/>
    <w:rsid w:val="007A0F2C"/>
    <w:rsid w:val="007A5865"/>
    <w:rsid w:val="007B1D5D"/>
    <w:rsid w:val="007B646E"/>
    <w:rsid w:val="007C3189"/>
    <w:rsid w:val="007D3B1B"/>
    <w:rsid w:val="007D681E"/>
    <w:rsid w:val="007E202F"/>
    <w:rsid w:val="007E75F3"/>
    <w:rsid w:val="007F0952"/>
    <w:rsid w:val="007F1AA0"/>
    <w:rsid w:val="00842F43"/>
    <w:rsid w:val="00851BAE"/>
    <w:rsid w:val="00853F02"/>
    <w:rsid w:val="0086606F"/>
    <w:rsid w:val="00871DBF"/>
    <w:rsid w:val="008765B5"/>
    <w:rsid w:val="00894D48"/>
    <w:rsid w:val="008B2F83"/>
    <w:rsid w:val="008B418C"/>
    <w:rsid w:val="008B5AFC"/>
    <w:rsid w:val="008C01FB"/>
    <w:rsid w:val="008C1F06"/>
    <w:rsid w:val="008F1C02"/>
    <w:rsid w:val="009339ED"/>
    <w:rsid w:val="00935AA2"/>
    <w:rsid w:val="00937DB5"/>
    <w:rsid w:val="00943B5E"/>
    <w:rsid w:val="00953F81"/>
    <w:rsid w:val="00955B48"/>
    <w:rsid w:val="00955DCD"/>
    <w:rsid w:val="00970987"/>
    <w:rsid w:val="009730E1"/>
    <w:rsid w:val="00980A1E"/>
    <w:rsid w:val="0098291A"/>
    <w:rsid w:val="00986FB9"/>
    <w:rsid w:val="009D6921"/>
    <w:rsid w:val="009D6D1A"/>
    <w:rsid w:val="009E0C93"/>
    <w:rsid w:val="009E4BEC"/>
    <w:rsid w:val="009E612C"/>
    <w:rsid w:val="009F6EE9"/>
    <w:rsid w:val="00A2570A"/>
    <w:rsid w:val="00A4579B"/>
    <w:rsid w:val="00A506E2"/>
    <w:rsid w:val="00A55438"/>
    <w:rsid w:val="00A5750E"/>
    <w:rsid w:val="00A753CB"/>
    <w:rsid w:val="00A76F0B"/>
    <w:rsid w:val="00AC2090"/>
    <w:rsid w:val="00AC7847"/>
    <w:rsid w:val="00AF1E2B"/>
    <w:rsid w:val="00B13E43"/>
    <w:rsid w:val="00B15657"/>
    <w:rsid w:val="00B171C6"/>
    <w:rsid w:val="00B30C30"/>
    <w:rsid w:val="00B321F3"/>
    <w:rsid w:val="00B42C3E"/>
    <w:rsid w:val="00B4541F"/>
    <w:rsid w:val="00B617DD"/>
    <w:rsid w:val="00B7161C"/>
    <w:rsid w:val="00BA2303"/>
    <w:rsid w:val="00BB7E18"/>
    <w:rsid w:val="00BC29C5"/>
    <w:rsid w:val="00BC6ED9"/>
    <w:rsid w:val="00BE7601"/>
    <w:rsid w:val="00C06F47"/>
    <w:rsid w:val="00C150A9"/>
    <w:rsid w:val="00C21755"/>
    <w:rsid w:val="00C308C0"/>
    <w:rsid w:val="00C3369F"/>
    <w:rsid w:val="00C3599D"/>
    <w:rsid w:val="00C70763"/>
    <w:rsid w:val="00C81ED6"/>
    <w:rsid w:val="00C84A8F"/>
    <w:rsid w:val="00C873E9"/>
    <w:rsid w:val="00C878D0"/>
    <w:rsid w:val="00CB1112"/>
    <w:rsid w:val="00CB715D"/>
    <w:rsid w:val="00CB7A2A"/>
    <w:rsid w:val="00CB7C18"/>
    <w:rsid w:val="00D04C79"/>
    <w:rsid w:val="00D11AD9"/>
    <w:rsid w:val="00D175CF"/>
    <w:rsid w:val="00D21A70"/>
    <w:rsid w:val="00D36674"/>
    <w:rsid w:val="00D40950"/>
    <w:rsid w:val="00D55B6E"/>
    <w:rsid w:val="00D5718D"/>
    <w:rsid w:val="00D57AA1"/>
    <w:rsid w:val="00D66ADC"/>
    <w:rsid w:val="00D718A9"/>
    <w:rsid w:val="00DA1A67"/>
    <w:rsid w:val="00DA1B71"/>
    <w:rsid w:val="00DB1F68"/>
    <w:rsid w:val="00DB6B12"/>
    <w:rsid w:val="00DD3704"/>
    <w:rsid w:val="00DE1E9A"/>
    <w:rsid w:val="00DF611B"/>
    <w:rsid w:val="00DF6D76"/>
    <w:rsid w:val="00E05C48"/>
    <w:rsid w:val="00E23547"/>
    <w:rsid w:val="00E26988"/>
    <w:rsid w:val="00E31AC3"/>
    <w:rsid w:val="00E34800"/>
    <w:rsid w:val="00E53927"/>
    <w:rsid w:val="00E614D6"/>
    <w:rsid w:val="00E7281E"/>
    <w:rsid w:val="00E73F0E"/>
    <w:rsid w:val="00E769F5"/>
    <w:rsid w:val="00E8390A"/>
    <w:rsid w:val="00E8720D"/>
    <w:rsid w:val="00E9118B"/>
    <w:rsid w:val="00E92D82"/>
    <w:rsid w:val="00EA2D76"/>
    <w:rsid w:val="00EC35E2"/>
    <w:rsid w:val="00EF6092"/>
    <w:rsid w:val="00F004BE"/>
    <w:rsid w:val="00F06ADA"/>
    <w:rsid w:val="00F16A95"/>
    <w:rsid w:val="00F5043D"/>
    <w:rsid w:val="00F67AD3"/>
    <w:rsid w:val="00F759C8"/>
    <w:rsid w:val="00F75B8D"/>
    <w:rsid w:val="00F822C4"/>
    <w:rsid w:val="00F87267"/>
    <w:rsid w:val="00F90125"/>
    <w:rsid w:val="00F90C0B"/>
    <w:rsid w:val="00FA63A7"/>
    <w:rsid w:val="00FB2F1A"/>
    <w:rsid w:val="00FC025A"/>
    <w:rsid w:val="00FC64D8"/>
    <w:rsid w:val="00FE0403"/>
    <w:rsid w:val="00F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DCF55C"/>
  <w15:docId w15:val="{5155B78B-3176-4A09-BD43-EB212612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rsid w:val="00052F25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7893"/>
    </w:tcPr>
  </w:style>
  <w:style w:type="table" w:customStyle="1" w:styleId="PlainTable51">
    <w:name w:val="Plain Table 51"/>
    <w:basedOn w:val="TableNormal"/>
    <w:uiPriority w:val="45"/>
    <w:rsid w:val="0020355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4E74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E2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02F"/>
  </w:style>
  <w:style w:type="paragraph" w:styleId="Footer">
    <w:name w:val="footer"/>
    <w:basedOn w:val="Normal"/>
    <w:link w:val="FooterChar"/>
    <w:uiPriority w:val="99"/>
    <w:unhideWhenUsed/>
    <w:rsid w:val="007E20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02F"/>
  </w:style>
  <w:style w:type="character" w:styleId="Hyperlink">
    <w:name w:val="Hyperlink"/>
    <w:basedOn w:val="DefaultParagraphFont"/>
    <w:uiPriority w:val="99"/>
    <w:unhideWhenUsed/>
    <w:rsid w:val="008C01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DB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E008A"/>
  </w:style>
  <w:style w:type="paragraph" w:styleId="NoSpacing">
    <w:name w:val="No Spacing"/>
    <w:uiPriority w:val="1"/>
    <w:qFormat/>
    <w:rsid w:val="005754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43D"/>
    <w:pPr>
      <w:spacing w:after="0" w:line="240" w:lineRule="auto"/>
    </w:pPr>
    <w:rPr>
      <w:color w:val="00000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43D"/>
    <w:rPr>
      <w:color w:val="00000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43D"/>
    <w:rPr>
      <w:vertAlign w:val="superscript"/>
    </w:rPr>
  </w:style>
  <w:style w:type="table" w:styleId="PlainTable5">
    <w:name w:val="Plain Table 5"/>
    <w:basedOn w:val="TableNormal"/>
    <w:uiPriority w:val="45"/>
    <w:rsid w:val="00052F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6339C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4">
    <w:name w:val="Grid Table 4 Accent 4"/>
    <w:basedOn w:val="TableNormal"/>
    <w:uiPriority w:val="49"/>
    <w:rsid w:val="006339C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2">
    <w:name w:val="Grid Table 4 Accent 2"/>
    <w:basedOn w:val="TableNormal"/>
    <w:uiPriority w:val="49"/>
    <w:rsid w:val="006339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B7E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6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6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6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Jackeline Micolta Victoria</dc:creator>
  <cp:keywords/>
  <dc:description/>
  <cp:lastModifiedBy>redfamiliasdehoz@gmail.com</cp:lastModifiedBy>
  <cp:revision>3</cp:revision>
  <cp:lastPrinted>2023-04-21T21:49:00Z</cp:lastPrinted>
  <dcterms:created xsi:type="dcterms:W3CDTF">2023-06-22T19:07:00Z</dcterms:created>
  <dcterms:modified xsi:type="dcterms:W3CDTF">2023-06-23T02:38:00Z</dcterms:modified>
</cp:coreProperties>
</file>